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4BB6903" w:rsidP="2969A1D8" w:rsidRDefault="64BB6903" w14:paraId="27CF58C6" w14:textId="21EA55EE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969A1D8" w:rsidR="1F0850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2969A1D8" w:rsidR="65FDD3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Programadores, talento valioso en el contexto de </w:t>
      </w:r>
      <w:r w:rsidRPr="2969A1D8" w:rsidR="65FDD36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nearshoring</w:t>
      </w:r>
      <w:r w:rsidRPr="2969A1D8" w:rsidR="65FDD3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: </w:t>
      </w:r>
      <w:r w:rsidRPr="2969A1D8" w:rsidR="65FDD3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2969A1D8" w:rsidR="65FDD36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oftServe</w:t>
      </w:r>
    </w:p>
    <w:p w:rsidR="0A7159F3" w:rsidP="479414EB" w:rsidRDefault="0A7159F3" w14:paraId="5A9986A4" w14:textId="3A0CF38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79414EB" w:rsidR="0A7159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Ciudad de Mé</w:t>
      </w:r>
      <w:r w:rsidRPr="479414EB" w:rsidR="0A7159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xico, </w:t>
      </w:r>
      <w:r w:rsidRPr="479414EB" w:rsidR="1763845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1</w:t>
      </w:r>
      <w:r w:rsidRPr="479414EB" w:rsidR="50ABF1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1</w:t>
      </w:r>
      <w:r w:rsidRPr="479414EB" w:rsidR="0A7159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79414EB" w:rsidR="0A7159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 noviembre de 2024.-</w:t>
      </w:r>
      <w:r w:rsidRPr="479414EB" w:rsidR="0A7159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79414EB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</w:t>
      </w:r>
      <w:r w:rsidRPr="479414EB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 un mundo donde la tecnología y la inmediatez marcan la pauta para el crecimiento empresarial, </w:t>
      </w:r>
      <w:r w:rsidRPr="479414EB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el </w:t>
      </w:r>
      <w:r w:rsidRPr="479414EB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nearshoring</w:t>
      </w:r>
      <w:r w:rsidRPr="479414EB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79414EB" w:rsidR="2F35DB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ha </w:t>
      </w:r>
      <w:r w:rsidRPr="479414EB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emerg</w:t>
      </w:r>
      <w:r w:rsidRPr="479414EB" w:rsidR="6C1540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ido</w:t>
      </w:r>
      <w:r w:rsidRPr="479414EB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como una estrategia clave</w:t>
      </w:r>
      <w:r w:rsidRPr="479414EB" w:rsidR="02EC37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para las compañías fabricantes o ensambladoras</w:t>
      </w:r>
      <w:r w:rsidRPr="479414EB" w:rsidR="56E3D5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todo tipo</w:t>
      </w:r>
      <w:r w:rsidRPr="479414EB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479414EB" w:rsidR="661D86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pero también</w:t>
      </w:r>
      <w:r w:rsidRPr="479414EB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para la </w:t>
      </w:r>
      <w:r w:rsidRPr="479414EB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industria de </w:t>
      </w:r>
      <w:r w:rsidRPr="479414EB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software </w:t>
      </w:r>
      <w:r w:rsidRPr="479414EB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y soluciones de </w:t>
      </w:r>
      <w:r w:rsidRPr="479414EB" w:rsidR="25F6E7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tecnologías de la información (TI)</w:t>
      </w:r>
      <w:r w:rsidRPr="479414EB" w:rsidR="29F21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que bajo la etiqueta de "informática" </w:t>
      </w:r>
      <w:hyperlink r:id="R3cfc3f69d54b4427">
        <w:r w:rsidRPr="479414EB" w:rsidR="29F215F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Deloitte</w:t>
        </w:r>
      </w:hyperlink>
      <w:r w:rsidRPr="479414EB" w:rsidR="29F21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ha detectado </w:t>
      </w:r>
      <w:r w:rsidRPr="479414EB" w:rsidR="489CF1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los estados de </w:t>
      </w:r>
      <w:r w:rsidRPr="479414EB" w:rsidR="489CF1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Jalisco y CDMX </w:t>
      </w:r>
      <w:r w:rsidRPr="479414EB" w:rsidR="3B861A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su</w:t>
      </w:r>
      <w:r w:rsidRPr="479414EB" w:rsidR="29F21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 mayores volúmenes de </w:t>
      </w:r>
      <w:r w:rsidRPr="479414EB" w:rsidR="29F215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inversión</w:t>
      </w:r>
      <w:r w:rsidRPr="479414EB" w:rsidR="231F0D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79414EB" w:rsidR="77392E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relacionados</w:t>
      </w:r>
      <w:r w:rsidRPr="479414EB" w:rsidR="231F0D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79414EB" w:rsidR="77392E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 la relocalización</w:t>
      </w:r>
      <w:r w:rsidRPr="479414EB" w:rsidR="0AF4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2B4E04A6" w:rsidP="64BB6903" w:rsidRDefault="2B4E04A6" w14:paraId="445CCCB2" w14:textId="49E19982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las </w:t>
      </w:r>
      <w:r w:rsidRPr="64BB6903" w:rsidR="5ACC17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firmas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mexicanas </w:t>
      </w:r>
      <w:r w:rsidRPr="64BB6903" w:rsidR="64E1CD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 instaladas en el territorio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que están impulsando su crecimiento a través del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nearshoring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el trabajo de los programadores es esencial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Estos profesionales no s</w:t>
      </w:r>
      <w:r w:rsidRPr="64BB6903" w:rsidR="16F3E1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ó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 representan el núcleo de la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transformación digital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sus clientes y </w:t>
      </w:r>
      <w:r w:rsidRPr="64BB6903" w:rsidR="62D3C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compañías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sino que también potencian el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desarrollo tecnológico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 una economía cada vez más globalizada.</w:t>
      </w:r>
    </w:p>
    <w:p w:rsidR="2A3C5430" w:rsidP="64BB6903" w:rsidRDefault="2A3C5430" w14:paraId="5565CA0E" w14:textId="2DAE0A84">
      <w:pPr>
        <w:pStyle w:val="Normal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A3C54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 medida que más empresas se trasladan a México para beneficiarse del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nearshoring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los programadores locales e internacionales ubicados en el país juegan un papel cada vez más relevante. Al estar cerca del mercado estadounidense, donde reside un alto número de consumidores </w:t>
      </w:r>
      <w:r w:rsidRPr="64BB6903" w:rsidR="0AF1E4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profesionales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tecnología, los programadores </w:t>
      </w:r>
      <w:r w:rsidRPr="64BB6903" w:rsidR="0C251FA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nacionales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pueden </w:t>
      </w:r>
      <w:r w:rsidRPr="64BB6903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ofrecer una ventaja competitiva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 sus clientes </w:t>
      </w:r>
      <w:r w:rsidRPr="64BB6903" w:rsidR="63FAE31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por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estar en una zona horaria similar, lo cual mejora la coordinación y reduce los tiempos de respuesta. Esta proximidad permite que los equipos de programación en México y sus </w:t>
      </w:r>
      <w:r w:rsidRPr="64BB6903" w:rsidR="220FC4F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mercados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trabajen en colaboración constante, sincronizando tiempos y eliminando barreras culturales y lingüísticas</w:t>
      </w:r>
      <w:r w:rsidRPr="64BB6903" w:rsidR="0F3933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64BB6903" w:rsidR="1ED9DE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; explica </w:t>
      </w:r>
      <w:r w:rsidRPr="64BB6903" w:rsidR="1ED9DE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Irene Ramírez, Country People Lead </w:t>
      </w:r>
      <w:r w:rsidRPr="64BB6903" w:rsidR="1ED9DE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Mexico</w:t>
      </w:r>
      <w:r w:rsidRPr="64BB6903" w:rsidR="1ED9DE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</w:t>
      </w:r>
      <w:hyperlink r:id="R439347fac2c6451f">
        <w:r w:rsidRPr="64BB6903" w:rsidR="1ED9DEE2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SoftServe</w:t>
        </w:r>
      </w:hyperlink>
      <w:r w:rsidRPr="64BB6903" w:rsidR="1ED9DE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proveedor líder de consultoría en TI y servicios digitales.</w:t>
      </w:r>
    </w:p>
    <w:p w:rsidR="2B4E04A6" w:rsidP="64BB6903" w:rsidRDefault="2B4E04A6" w14:paraId="26D56B02" w14:textId="16F46E1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Además, </w:t>
      </w:r>
      <w:r w:rsidRPr="64BB6903" w:rsidR="6CD6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6CD6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relocalización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ha creado oportunidades para que los programadores puedan desarrollarse profesionalmente en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proyectos de alto impacto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ayudando a </w:t>
      </w:r>
      <w:r w:rsidRPr="64BB6903" w:rsidR="6DABCB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las compañías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 optimizar sus sistemas de TI, implementar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soluciones de </w:t>
      </w:r>
      <w:r w:rsidRPr="64BB6903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software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avanzadas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mantener la infraestructura tecnológica con los más altos estándares de calidad.</w:t>
      </w:r>
    </w:p>
    <w:p w:rsidR="2B4E04A6" w:rsidP="64BB6903" w:rsidRDefault="2B4E04A6" w14:paraId="14615B36" w14:textId="2C0531AE">
      <w:pPr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Ventajas </w:t>
      </w:r>
      <w:r w:rsidRPr="64BB6903" w:rsidR="2D103F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del </w:t>
      </w:r>
      <w:r w:rsidRPr="64BB6903" w:rsidR="2D103F6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nearshoring</w:t>
      </w:r>
      <w:r w:rsidRPr="64BB6903" w:rsidR="2D103F62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la industria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</w:t>
      </w:r>
      <w:r w:rsidRPr="64BB6903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software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TI</w:t>
      </w:r>
    </w:p>
    <w:p w:rsidR="2B4E04A6" w:rsidP="64BB6903" w:rsidRDefault="2B4E04A6" w14:paraId="6B2A7297" w14:textId="286F7C7E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la industria de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software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y soluciones de TI, </w:t>
      </w:r>
      <w:r w:rsidRPr="64BB6903" w:rsidR="15004D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15004D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relocalización </w:t>
      </w:r>
      <w:r w:rsidRPr="64BB6903" w:rsidR="7D4662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 mucho más que una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tendencia; </w:t>
      </w:r>
      <w:r w:rsidRPr="64BB6903" w:rsidR="67F3CD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representa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una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herramienta estratégica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</w:t>
      </w:r>
      <w:r w:rsidRPr="64BB6903" w:rsidR="65899B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que los jugadores se mantengan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competitiv</w:t>
      </w:r>
      <w:r w:rsidRPr="64BB6903" w:rsidR="109E65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un mercado global. </w:t>
      </w:r>
      <w:r w:rsidRPr="64BB6903" w:rsidR="628D53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</w:t>
      </w:r>
      <w:r w:rsidRPr="64BB6903" w:rsidR="5F9EA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 acuerdo con la experta de </w:t>
      </w:r>
      <w:r w:rsidRPr="64BB6903" w:rsidR="5F9EA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SoftServe</w:t>
      </w:r>
      <w:r w:rsidRPr="64BB6903" w:rsidR="5F9EA8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738C03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tres de sus ventajas </w:t>
      </w:r>
      <w:r w:rsidRPr="64BB6903" w:rsidR="4F4016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clave </w:t>
      </w:r>
      <w:r w:rsidRPr="64BB6903" w:rsidR="738C0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son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:</w:t>
      </w:r>
    </w:p>
    <w:p w:rsidR="2B4E04A6" w:rsidP="64BB6903" w:rsidRDefault="2B4E04A6" w14:paraId="581622AA" w14:textId="7DED478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Reducción de costos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- El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nearshoring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permite a las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empres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as de TI en México ofrecer costos de desarrollo y operación más bajos</w:t>
      </w:r>
      <w:r w:rsidRPr="64BB6903" w:rsidR="587C6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comparación con otras regiones. Esto se traduce en una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mayor eficiencia y rentabilidad</w:t>
      </w:r>
      <w:r w:rsidRPr="64BB6903" w:rsidR="106CA5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sin sacrificar la calidad de los productos y servicios.</w:t>
      </w:r>
    </w:p>
    <w:p w:rsidR="2B4E04A6" w:rsidP="64BB6903" w:rsidRDefault="2B4E04A6" w14:paraId="200B075D" w14:textId="346F26D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Facilidad de colaboración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- La proximidad geográfica facilita la colaboración continua entre los programadores y los clientes, lo que resulta en una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mayor alinea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ción con los objetivos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de</w:t>
      </w:r>
      <w:r w:rsidRPr="64BB6903" w:rsidR="37D7D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</w:t>
      </w:r>
      <w:r w:rsidRPr="64BB6903" w:rsidR="37D7D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cada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proyecto y una menor probabilidad de malentendidos</w:t>
      </w:r>
      <w:r w:rsidRPr="64BB6903" w:rsidR="5B4712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o errores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.</w:t>
      </w:r>
    </w:p>
    <w:p w:rsidR="3E0FD44A" w:rsidP="64BB6903" w:rsidRDefault="3E0FD44A" w14:paraId="1ABB2612" w14:textId="7B7D04BB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</w:pPr>
      <w:r w:rsidRPr="64BB6903" w:rsidR="3E0FD4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Acceso a talento especializado</w:t>
      </w:r>
      <w:r w:rsidRPr="64BB6903" w:rsidR="3E0FD4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- México se ha posicionado como un importante centro tecnológico en crecimiento, con ciudades como Guadalajara, Monterrey y la capital atrayendo talento </w:t>
      </w:r>
      <w:r w:rsidRPr="64BB6903" w:rsidR="0D125BE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s-ES"/>
        </w:rPr>
        <w:t>techie</w:t>
      </w:r>
      <w:r w:rsidRPr="64BB6903" w:rsidR="0D125B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</w:t>
      </w:r>
      <w:r w:rsidRPr="64BB6903" w:rsidR="3E0FD4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de todo el país e incluso del extranjero. Los programadores especializados en tecnologías como </w:t>
      </w:r>
      <w:r w:rsidRPr="64BB6903" w:rsidR="3E0FD4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DevOps, inteligencia artificial (IA), aplicaciones móvile</w:t>
      </w:r>
      <w:r w:rsidRPr="64BB6903" w:rsidR="1F97C9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s</w:t>
      </w:r>
      <w:r w:rsidRPr="64BB6903" w:rsidR="3E0FD4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</w:t>
      </w:r>
      <w:r w:rsidRPr="64BB6903" w:rsidR="79BA6C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o</w:t>
      </w:r>
      <w:r w:rsidRPr="64BB6903" w:rsidR="3E0FD4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la nube</w:t>
      </w:r>
      <w:r w:rsidRPr="64BB6903" w:rsidR="460E6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,</w:t>
      </w:r>
      <w:r w:rsidRPr="64BB6903" w:rsidR="3E0FD4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ahora encuentran en </w:t>
      </w:r>
      <w:r w:rsidRPr="64BB6903" w:rsidR="6229B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el país </w:t>
      </w:r>
      <w:r w:rsidRPr="64BB6903" w:rsidR="3E0FD4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un lugar ideal para desarrollarse.</w:t>
      </w:r>
    </w:p>
    <w:p w:rsidR="2B4E04A6" w:rsidP="64BB6903" w:rsidRDefault="2B4E04A6" w14:paraId="1258B21F" w14:textId="0419193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Nearshoring</w:t>
      </w:r>
      <w:r w:rsidRPr="64BB6903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la transformación digital de empresas y clientes</w:t>
      </w:r>
    </w:p>
    <w:p w:rsidR="30C4202B" w:rsidP="64BB6903" w:rsidRDefault="30C4202B" w14:paraId="3680CE77" w14:textId="4E7046DF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30C42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30C42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relocalización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ha sido una fuerza catalizadora para la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transformación digital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tanto para las </w:t>
      </w:r>
      <w:r w:rsidRPr="64BB6903" w:rsidR="0F9EB1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firmas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software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como para sus clientes en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diversas industrias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La demanda de servicios de TI cercanos y de alta calidad ha impulsado la necesidad de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programadores especializados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que son el motor detrás de soluciones como aplicaciones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empres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ariales, plataformas en la nube y sistemas de </w:t>
      </w:r>
      <w:r w:rsidRPr="64BB6903" w:rsidR="3BD71A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IA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3670DD44" w:rsidP="735853A8" w:rsidRDefault="3670DD44" w14:paraId="458853D8" w14:textId="2EE3CB6C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35853A8" w:rsidR="3670DD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los clientes, el acceso a 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 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equipo de programación cercano y confiable 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permite 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una rápida adopción de tecnologías innovadoras que </w:t>
      </w:r>
      <w:r w:rsidRPr="735853A8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optimizan sus operaciones y mejoran la experiencia 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</w:t>
      </w:r>
      <w:r w:rsidRPr="735853A8" w:rsidR="6E5A4D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la organización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Desde soluciones de comercio electrónico hasta sistemas de análisis de datos, los programadores </w:t>
      </w:r>
      <w:r w:rsidRPr="735853A8" w:rsidR="649783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que están 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cerca del mercado de consumo final ayudan a </w:t>
      </w:r>
      <w:r w:rsidRPr="735853A8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adaptar rápidamente las soluciones a las necesidades 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</w:t>
      </w:r>
      <w:r w:rsidRPr="735853A8" w:rsidR="67E88E7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 quien contrata este tipo de servicios </w:t>
      </w:r>
      <w:r w:rsidRPr="735853A8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a mantener la relevancia tecnológica</w:t>
      </w:r>
      <w:r w:rsidRPr="735853A8" w:rsidR="19D97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"; agrega </w:t>
      </w:r>
      <w:r w:rsidRPr="735853A8" w:rsidR="1FA58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Country People Lead </w:t>
      </w:r>
      <w:r w:rsidRPr="735853A8" w:rsidR="3EA6A2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México</w:t>
      </w:r>
      <w:r w:rsidRPr="735853A8" w:rsidR="1FA58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</w:t>
      </w:r>
      <w:r w:rsidRPr="735853A8" w:rsidR="1FA58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SoftServe</w:t>
      </w:r>
      <w:r w:rsidRPr="735853A8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3493CF55" w:rsidP="64BB6903" w:rsidRDefault="3493CF55" w14:paraId="24922DDC" w14:textId="2BD15F9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3493C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este sentido, el monitor de inversión de </w:t>
      </w:r>
      <w:hyperlink r:id="Rf8c209f588f14b09">
        <w:r w:rsidRPr="64BB6903" w:rsidR="3493CF5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Deloitte</w:t>
        </w:r>
      </w:hyperlink>
      <w:r w:rsidRPr="64BB6903" w:rsidR="3493C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resalta </w:t>
      </w:r>
      <w:r w:rsidRPr="64BB6903" w:rsidR="3493CF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dos grupos de países </w:t>
      </w:r>
      <w:r w:rsidRPr="64BB6903" w:rsidR="3493C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que están reasignando inversiones a México: </w:t>
      </w:r>
      <w:r w:rsidRPr="64BB6903" w:rsidR="3493CF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compañías estadounidenses </w:t>
      </w:r>
      <w:r w:rsidRPr="64BB6903" w:rsidR="3493C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que ya tenían operaciones </w:t>
      </w:r>
      <w:r w:rsidRPr="64BB6903" w:rsidR="01EAA5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aquí</w:t>
      </w:r>
      <w:r w:rsidRPr="64BB6903" w:rsidR="3493C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ahora están ampliando su capacidad, así como </w:t>
      </w:r>
      <w:r w:rsidRPr="64BB6903" w:rsidR="3493CF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empresas asiáticas </w:t>
      </w:r>
      <w:r w:rsidRPr="64BB6903" w:rsidR="3493C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que buscan los beneficios de producir en </w:t>
      </w:r>
      <w:r w:rsidRPr="64BB6903" w:rsidR="77DDC9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nuestra región,</w:t>
      </w:r>
      <w:r w:rsidRPr="64BB6903" w:rsidR="3493C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evitando </w:t>
      </w:r>
      <w:r w:rsidRPr="64BB6903" w:rsidR="23BE27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ciertos</w:t>
      </w:r>
      <w:r w:rsidRPr="64BB6903" w:rsidR="3493C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costos </w:t>
      </w:r>
      <w:r w:rsidRPr="64BB6903" w:rsidR="49D5FD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elevados </w:t>
      </w:r>
      <w:r w:rsidRPr="64BB6903" w:rsidR="3493CF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 mano de obra.</w:t>
      </w:r>
    </w:p>
    <w:p w:rsidR="330A3414" w:rsidP="64BB6903" w:rsidRDefault="330A3414" w14:paraId="69664763" w14:textId="5B2D611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330A34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tanto </w:t>
      </w:r>
      <w:bookmarkStart w:name="_Int_8tbE2n9D" w:id="1189591416"/>
      <w:r w:rsidRPr="64BB6903" w:rsidR="330A34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que</w:t>
      </w:r>
      <w:bookmarkEnd w:id="1189591416"/>
      <w:r w:rsidRPr="64BB6903" w:rsidR="330A34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ara las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empres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as de TI </w:t>
      </w:r>
      <w:r w:rsidRPr="64BB6903" w:rsidR="6683DF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 operaciones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México, el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nearshoring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no s</w:t>
      </w:r>
      <w:r w:rsidRPr="64BB6903" w:rsidR="259A46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ó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 ha significado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oportunidades de expansión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sino también la posibilidad de contribuir al crecimiento de las economías </w:t>
      </w:r>
      <w:r w:rsidRPr="64BB6903" w:rsidR="14BCCE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estatales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al capacitar y emplear a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programadores </w:t>
      </w:r>
      <w:r w:rsidRPr="64BB6903" w:rsidR="779A20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locales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Esto fortalece el ecosistema tecnológico </w:t>
      </w:r>
      <w:r w:rsidRPr="64BB6903" w:rsidR="4046A0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nacional en su conjunto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permitiendo una sinergia que beneficia a todas las partes involucradas.</w:t>
      </w:r>
    </w:p>
    <w:p w:rsidR="2B4E04A6" w:rsidP="64BB6903" w:rsidRDefault="2B4E04A6" w14:paraId="7F71C847" w14:textId="4FE8AEB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importancia de los programadores </w:t>
      </w:r>
      <w:r w:rsidRPr="64BB6903" w:rsidR="31478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431CF0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 industria moderna</w:t>
      </w:r>
    </w:p>
    <w:p w:rsidR="2B4E04A6" w:rsidP="64BB6903" w:rsidRDefault="2B4E04A6" w14:paraId="1CCF835B" w14:textId="388254BC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El papel de los programadores en el mundo actual va más allá de escribir líneas de código; son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arquitectos de soluciones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que transforman la manera en que vivimos, trabajamos y nos conectamos.</w:t>
      </w:r>
    </w:p>
    <w:p w:rsidR="2B4E04A6" w:rsidP="64BB6903" w:rsidRDefault="2B4E04A6" w14:paraId="13592020" w14:textId="11F19E9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 lo largo de la historia, programadores y científicos informáticos han marcado hitos en la tecnología. </w:t>
      </w:r>
      <w:r w:rsidRPr="64BB6903" w:rsidR="7B309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Dos ejemplos </w:t>
      </w:r>
      <w:r w:rsidRPr="64BB6903" w:rsidR="0E82DE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que m</w:t>
      </w:r>
      <w:r w:rsidRPr="64BB6903" w:rsidR="679A29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erecen ser mencionados</w:t>
      </w:r>
      <w:r w:rsidRPr="64BB6903" w:rsidR="0E82DE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son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Alan Turing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considerado uno de los padres de la computación moderna</w:t>
      </w:r>
      <w:r w:rsidRPr="64BB6903" w:rsidR="62144C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132193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cuyos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aportes en el desarrollo de algoritmos sent</w:t>
      </w:r>
      <w:r w:rsidRPr="64BB6903" w:rsidR="1258FB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aron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las bases para el desarrollo de la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informática</w:t>
      </w:r>
      <w:r w:rsidRPr="64BB6903" w:rsidR="246D8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; </w:t>
      </w:r>
      <w:r w:rsidRPr="64BB6903" w:rsidR="33689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Grace Hopper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pionera en programación</w:t>
      </w:r>
      <w:r w:rsidRPr="64BB6903" w:rsidR="422453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que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introdujo el concepto de </w:t>
      </w:r>
      <w:r w:rsidRPr="64BB6903" w:rsidR="2A16DA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compilación</w:t>
      </w:r>
      <w:r w:rsidRPr="64BB6903" w:rsidR="2A16DA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64BB6903" w:rsidR="0FC44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64BB6903" w:rsidR="35871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1A3F40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 que</w:t>
      </w:r>
      <w:r w:rsidRPr="64BB6903" w:rsidR="358718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revolucionó la creación de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lenguajes de programación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que </w:t>
      </w:r>
      <w:r w:rsidRPr="64BB6903" w:rsidR="762F9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actualmente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son esenciales en la industria de TI.</w:t>
      </w:r>
    </w:p>
    <w:p w:rsidR="668285A1" w:rsidP="64BB6903" w:rsidRDefault="668285A1" w14:paraId="4F5F095C" w14:textId="71EAB2F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4BB6903" w:rsidR="668285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Hoy, los programadores en México tienen la oportunidad de seguir ese legado y hacer historia mediante el </w:t>
      </w:r>
      <w:r w:rsidRPr="64BB6903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desarrollo de tecnologías que impacten globalmente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 Con el auge de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1E5DA42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relocalización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y el apoyo de plataformas educativas, </w:t>
      </w:r>
      <w:r w:rsidRPr="64BB6903" w:rsidR="6C2A82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firm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as como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SoftServe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con</w:t>
      </w:r>
      <w:r w:rsidRPr="64BB6903" w:rsidR="789003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stantemente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capacita</w:t>
      </w:r>
      <w:r w:rsidRPr="64BB6903" w:rsidR="20116B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mos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empodera</w:t>
      </w:r>
      <w:r w:rsidRPr="64BB6903" w:rsidR="583BD1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mos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 estos profesionales</w:t>
      </w:r>
      <w:r w:rsidRPr="64BB6903" w:rsidR="4FD2C8F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los países donde operamos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64BB6903" w:rsidR="3FDBB43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conscientes de que </w:t>
      </w:r>
      <w:r w:rsidRPr="64BB6903" w:rsidR="3FDBB43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ello</w:t>
      </w:r>
      <w:r w:rsidRPr="64BB6903" w:rsidR="2B4E04A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 son la clave para enfrentar los retos tecnológicos del presente y del futuro</w:t>
      </w:r>
      <w:r w:rsidRPr="64BB6903" w:rsidR="2A00076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64BB6903" w:rsidR="05234F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; concluye </w:t>
      </w:r>
      <w:r w:rsidRPr="64BB6903" w:rsidR="1A0A4D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Irene Ramírez.</w:t>
      </w:r>
    </w:p>
    <w:p w:rsidR="2B4E04A6" w:rsidP="64BB6903" w:rsidRDefault="2B4E04A6" w14:paraId="4F9CD9D1" w14:textId="5F7206B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conclusión, el 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nearshoring</w:t>
      </w:r>
      <w:r w:rsidRPr="64BB6903" w:rsidR="2B4E04A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México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beneficia a las </w:t>
      </w:r>
      <w:r w:rsidRPr="64BB6903" w:rsidR="353AE8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compañí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as que buscan expandir sus operaciones en el país </w:t>
      </w:r>
      <w:r w:rsidRPr="64BB6903" w:rsidR="504DCB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y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destaca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el papel fundamental de los programadores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ese proceso. Gracias a su talento y capacidad de adaptación, </w:t>
      </w:r>
      <w:r w:rsidRPr="64BB6903" w:rsidR="68400B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ellos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se han convertido en </w:t>
      </w:r>
      <w:r w:rsidRPr="64BB6903" w:rsidR="2B4E04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agentes de cambio </w:t>
      </w:r>
      <w:r w:rsidRPr="64BB6903" w:rsidR="2B4E0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 un mundo donde la transformación digital es crucial para el éxito empresarial.</w:t>
      </w:r>
    </w:p>
    <w:p w:rsidR="64BB6903" w:rsidP="64BB6903" w:rsidRDefault="64BB6903" w14:paraId="3AEB5AD9" w14:textId="183542D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p w:rsidR="1A303C49" w:rsidP="64BB6903" w:rsidRDefault="1A303C49" w14:paraId="426B7A38" w14:textId="6C9FFDEB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4BB6903" w:rsidR="1A303C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ACERCA DE SOFTSERVE</w:t>
      </w:r>
    </w:p>
    <w:p w:rsidR="1A303C49" w:rsidP="64BB6903" w:rsidRDefault="1A303C49" w14:paraId="65BFDF9C" w14:textId="2E5E3BD0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4BB6903" w:rsidR="1A303C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 xml:space="preserve">SoftServe es un proveedor líder de consultoría de TI y servicios digitales. Ampliamos el horizonte de las nuevas tecnologías para resolver los complejos retos empresariales actuales y lograr resultados significativos para los clientes. Nuestra curiosidad sin límites nos impulsa a explorar y reimaginar el arte de lo posible. Los clientes confían en SoftServe para diseñar y ejecutar capacidades maduras e innovadoras, como ingeniería digital, datos y análisis, nube e IA/ML. </w:t>
      </w:r>
    </w:p>
    <w:p w:rsidR="1A303C49" w:rsidP="64BB6903" w:rsidRDefault="1A303C49" w14:paraId="26EF843A" w14:textId="0EE4110B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4BB6903" w:rsidR="1A303C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Nuestra reputación global es el resultado de más de 30 años de experiencia entregando soluciones digitales superiores a una velocidad excepcional, desarrollado por talento de ingeniería de primer nivel especializado en industrias empresariales, incluyendo alta tecnología, servicios financieros, salud, ciencias de la vida, retail, energía y manufactura.</w:t>
      </w:r>
    </w:p>
    <w:p w:rsidR="1A303C49" w:rsidP="64BB6903" w:rsidRDefault="1A303C49" w14:paraId="094E8C28" w14:textId="0A2765E6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4BB6903" w:rsidR="1A303C4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5496d1d38824451e">
        <w:r w:rsidRPr="64BB6903" w:rsidR="1A303C49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64BB6903" w:rsidR="1A303C4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1A303C49" w:rsidP="64BB6903" w:rsidRDefault="1A303C49" w14:paraId="7DDFEC20" w14:textId="058114AD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4BB6903" w:rsidR="1A303C4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1A303C49" w:rsidP="64BB6903" w:rsidRDefault="1A303C49" w14:paraId="26C58211" w14:textId="06AA54C3">
      <w:pPr>
        <w:spacing w:before="0" w:beforeAutospacing="off" w:after="160" w:afterAutospacing="off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4BB6903" w:rsidR="1A303C4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dd8029f24ab94c7b">
        <w:r w:rsidRPr="64BB6903" w:rsidR="1A303C49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64BB6903" w:rsidP="64BB6903" w:rsidRDefault="64BB6903" w14:paraId="5B0C8DBF" w14:textId="3CA26FCE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a27accaf6714197"/>
      <w:footerReference w:type="default" r:id="Re156189ad83d4b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BB6903" w:rsidTr="64BB6903" w14:paraId="7305C4CF">
      <w:trPr>
        <w:trHeight w:val="300"/>
      </w:trPr>
      <w:tc>
        <w:tcPr>
          <w:tcW w:w="3005" w:type="dxa"/>
          <w:tcMar/>
        </w:tcPr>
        <w:p w:rsidR="64BB6903" w:rsidP="64BB6903" w:rsidRDefault="64BB6903" w14:paraId="73217CC6" w14:textId="4FE75B9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4BB6903" w:rsidP="64BB6903" w:rsidRDefault="64BB6903" w14:paraId="5D7B15A6" w14:textId="7B9377C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4BB6903" w:rsidP="64BB6903" w:rsidRDefault="64BB6903" w14:paraId="135817F3" w14:textId="768454E8">
          <w:pPr>
            <w:pStyle w:val="Header"/>
            <w:bidi w:val="0"/>
            <w:ind w:right="-115"/>
            <w:jc w:val="right"/>
          </w:pPr>
        </w:p>
      </w:tc>
    </w:tr>
  </w:tbl>
  <w:p w:rsidR="64BB6903" w:rsidP="64BB6903" w:rsidRDefault="64BB6903" w14:paraId="6B23CEAA" w14:textId="0621444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64BB6903" w:rsidP="64BB6903" w:rsidRDefault="64BB6903" w14:paraId="30274CEF" w14:textId="49E5817D">
    <w:pPr>
      <w:pStyle w:val="Header"/>
    </w:pPr>
    <w:r w:rsidR="64BB6903">
      <w:drawing>
        <wp:inline wp14:editId="5EE5BD91" wp14:anchorId="7E9E2C8E">
          <wp:extent cx="1571625" cy="485775"/>
          <wp:effectExtent l="0" t="0" r="0" b="0"/>
          <wp:docPr id="184390389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4727326abe1444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t3SHmTP13V4xZr" int2:id="uccIMpEh">
      <int2:state int2:type="AugLoop_Text_Critique" int2:value="Rejected"/>
    </int2:textHash>
    <int2:bookmark int2:bookmarkName="_Int_8tbE2n9D" int2:invalidationBookmarkName="" int2:hashCode="V7XKRZ746ZWtAA" int2:id="Cz78wQc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0fec2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DAA7AE"/>
    <w:rsid w:val="0022F9BA"/>
    <w:rsid w:val="006525B1"/>
    <w:rsid w:val="01EAA531"/>
    <w:rsid w:val="02EC37A5"/>
    <w:rsid w:val="04BF9294"/>
    <w:rsid w:val="05234FC2"/>
    <w:rsid w:val="08ED90CD"/>
    <w:rsid w:val="0A4022F6"/>
    <w:rsid w:val="0A7159F3"/>
    <w:rsid w:val="0AA546C5"/>
    <w:rsid w:val="0AF1E490"/>
    <w:rsid w:val="0AF4FBBC"/>
    <w:rsid w:val="0B958DA8"/>
    <w:rsid w:val="0C251FA9"/>
    <w:rsid w:val="0D125BEA"/>
    <w:rsid w:val="0E5A8F87"/>
    <w:rsid w:val="0E82DE78"/>
    <w:rsid w:val="0F393377"/>
    <w:rsid w:val="0F9EB1DB"/>
    <w:rsid w:val="0FC44709"/>
    <w:rsid w:val="106CA559"/>
    <w:rsid w:val="109E657F"/>
    <w:rsid w:val="1258FB0C"/>
    <w:rsid w:val="132193D6"/>
    <w:rsid w:val="13AD5480"/>
    <w:rsid w:val="14BCCE47"/>
    <w:rsid w:val="15004DC6"/>
    <w:rsid w:val="16F3E106"/>
    <w:rsid w:val="17638452"/>
    <w:rsid w:val="179FD69B"/>
    <w:rsid w:val="190EDE1D"/>
    <w:rsid w:val="19D97204"/>
    <w:rsid w:val="19FC03AE"/>
    <w:rsid w:val="1A0A4D2B"/>
    <w:rsid w:val="1A303C49"/>
    <w:rsid w:val="1A3F4014"/>
    <w:rsid w:val="1AE596FE"/>
    <w:rsid w:val="1BBBB44F"/>
    <w:rsid w:val="1C6B5E80"/>
    <w:rsid w:val="1E2AAF2C"/>
    <w:rsid w:val="1E5DA426"/>
    <w:rsid w:val="1ED9DEE2"/>
    <w:rsid w:val="1EF13FED"/>
    <w:rsid w:val="1F085091"/>
    <w:rsid w:val="1F0DDBC0"/>
    <w:rsid w:val="1F97C9A9"/>
    <w:rsid w:val="1FA584CC"/>
    <w:rsid w:val="20116B8E"/>
    <w:rsid w:val="205C6B89"/>
    <w:rsid w:val="220FC4F0"/>
    <w:rsid w:val="2214936C"/>
    <w:rsid w:val="22F772F1"/>
    <w:rsid w:val="231F0DDC"/>
    <w:rsid w:val="23BE274F"/>
    <w:rsid w:val="242FDF93"/>
    <w:rsid w:val="246D8757"/>
    <w:rsid w:val="257D460B"/>
    <w:rsid w:val="259A4648"/>
    <w:rsid w:val="25F6E79C"/>
    <w:rsid w:val="2645E9F5"/>
    <w:rsid w:val="288D09DE"/>
    <w:rsid w:val="2969A1D8"/>
    <w:rsid w:val="2971E496"/>
    <w:rsid w:val="29F215FA"/>
    <w:rsid w:val="2A00076F"/>
    <w:rsid w:val="2A16DA36"/>
    <w:rsid w:val="2A3C5430"/>
    <w:rsid w:val="2B4E04A6"/>
    <w:rsid w:val="2D103F62"/>
    <w:rsid w:val="2EC9E753"/>
    <w:rsid w:val="2F35DB21"/>
    <w:rsid w:val="301C80D9"/>
    <w:rsid w:val="3046436A"/>
    <w:rsid w:val="30C4202B"/>
    <w:rsid w:val="314784A6"/>
    <w:rsid w:val="3201D29A"/>
    <w:rsid w:val="32754DE6"/>
    <w:rsid w:val="330A3414"/>
    <w:rsid w:val="33689322"/>
    <w:rsid w:val="346E0062"/>
    <w:rsid w:val="3493CF55"/>
    <w:rsid w:val="34F8448D"/>
    <w:rsid w:val="35178FA1"/>
    <w:rsid w:val="353AE858"/>
    <w:rsid w:val="3555A93A"/>
    <w:rsid w:val="358718FA"/>
    <w:rsid w:val="3646EBB7"/>
    <w:rsid w:val="366DB1ED"/>
    <w:rsid w:val="3670DD44"/>
    <w:rsid w:val="37A5131B"/>
    <w:rsid w:val="37D7D248"/>
    <w:rsid w:val="392AC849"/>
    <w:rsid w:val="3B861A4F"/>
    <w:rsid w:val="3BD71AAC"/>
    <w:rsid w:val="3E0FD44A"/>
    <w:rsid w:val="3E77432F"/>
    <w:rsid w:val="3EA6A2D2"/>
    <w:rsid w:val="3EE1A8F1"/>
    <w:rsid w:val="3FDBB434"/>
    <w:rsid w:val="4046A0DC"/>
    <w:rsid w:val="410DE0EB"/>
    <w:rsid w:val="41621675"/>
    <w:rsid w:val="42245384"/>
    <w:rsid w:val="431CF04F"/>
    <w:rsid w:val="460E6EC8"/>
    <w:rsid w:val="469FAFBE"/>
    <w:rsid w:val="46DAA7AE"/>
    <w:rsid w:val="470474F0"/>
    <w:rsid w:val="479414EB"/>
    <w:rsid w:val="489CF1F7"/>
    <w:rsid w:val="49725F97"/>
    <w:rsid w:val="49D5FDF1"/>
    <w:rsid w:val="4A30D9B2"/>
    <w:rsid w:val="4BF22308"/>
    <w:rsid w:val="4D02909A"/>
    <w:rsid w:val="4D2E1F56"/>
    <w:rsid w:val="4F401662"/>
    <w:rsid w:val="4FD2C8FE"/>
    <w:rsid w:val="504DCB91"/>
    <w:rsid w:val="506E31AE"/>
    <w:rsid w:val="50ABF104"/>
    <w:rsid w:val="51E75B09"/>
    <w:rsid w:val="54723CD9"/>
    <w:rsid w:val="548130DE"/>
    <w:rsid w:val="550C3C38"/>
    <w:rsid w:val="56E3D56C"/>
    <w:rsid w:val="583BD10B"/>
    <w:rsid w:val="587C6F0C"/>
    <w:rsid w:val="592DDD79"/>
    <w:rsid w:val="5A870E3A"/>
    <w:rsid w:val="5ACC17AC"/>
    <w:rsid w:val="5B47123A"/>
    <w:rsid w:val="5BEF55F0"/>
    <w:rsid w:val="5D40A701"/>
    <w:rsid w:val="5D792C98"/>
    <w:rsid w:val="5F9EA837"/>
    <w:rsid w:val="62144C57"/>
    <w:rsid w:val="6229BB0A"/>
    <w:rsid w:val="628D53A4"/>
    <w:rsid w:val="62D3C7A7"/>
    <w:rsid w:val="633F9C5A"/>
    <w:rsid w:val="63FAE31C"/>
    <w:rsid w:val="64978316"/>
    <w:rsid w:val="64BB6903"/>
    <w:rsid w:val="64E1CDCF"/>
    <w:rsid w:val="65899B3A"/>
    <w:rsid w:val="65FDD360"/>
    <w:rsid w:val="661D8639"/>
    <w:rsid w:val="668285A1"/>
    <w:rsid w:val="6683DF8F"/>
    <w:rsid w:val="6758AD93"/>
    <w:rsid w:val="676C32EA"/>
    <w:rsid w:val="679A2924"/>
    <w:rsid w:val="67E88E7C"/>
    <w:rsid w:val="67F3CD4F"/>
    <w:rsid w:val="68400B41"/>
    <w:rsid w:val="6B006AF3"/>
    <w:rsid w:val="6B2A98F7"/>
    <w:rsid w:val="6B744C2F"/>
    <w:rsid w:val="6C1540DA"/>
    <w:rsid w:val="6C2A829E"/>
    <w:rsid w:val="6CBD2EB6"/>
    <w:rsid w:val="6CD6B329"/>
    <w:rsid w:val="6DABCB87"/>
    <w:rsid w:val="6E5A4DF3"/>
    <w:rsid w:val="6FE6F945"/>
    <w:rsid w:val="700D060B"/>
    <w:rsid w:val="70BDB123"/>
    <w:rsid w:val="71CB8C8D"/>
    <w:rsid w:val="72108AD5"/>
    <w:rsid w:val="728B203C"/>
    <w:rsid w:val="72E3140A"/>
    <w:rsid w:val="735853A8"/>
    <w:rsid w:val="738C03E4"/>
    <w:rsid w:val="756CEE75"/>
    <w:rsid w:val="762F9463"/>
    <w:rsid w:val="7721896F"/>
    <w:rsid w:val="77392E3A"/>
    <w:rsid w:val="779A20D9"/>
    <w:rsid w:val="77DDC932"/>
    <w:rsid w:val="77EC6290"/>
    <w:rsid w:val="7823249A"/>
    <w:rsid w:val="78616627"/>
    <w:rsid w:val="7890037F"/>
    <w:rsid w:val="78B12D5D"/>
    <w:rsid w:val="793F8922"/>
    <w:rsid w:val="796FFFD0"/>
    <w:rsid w:val="79BA6C5B"/>
    <w:rsid w:val="7B3094FA"/>
    <w:rsid w:val="7BD3C284"/>
    <w:rsid w:val="7BD793B7"/>
    <w:rsid w:val="7CDA4A65"/>
    <w:rsid w:val="7D13DBDB"/>
    <w:rsid w:val="7D4662B5"/>
    <w:rsid w:val="7F8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A7AE"/>
  <w15:chartTrackingRefBased/>
  <w15:docId w15:val="{D4C6FFEF-C730-4EAE-B63B-D312E06F5B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e156189ad83d4b03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eader" Target="header.xml" Id="R6a27accaf6714197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20/10/relationships/intelligence" Target="intelligence2.xml" Id="R4f3174af19274361" /><Relationship Type="http://schemas.openxmlformats.org/officeDocument/2006/relationships/styles" Target="styles.xml" Id="rId1" /><Relationship Type="http://schemas.openxmlformats.org/officeDocument/2006/relationships/hyperlink" Target="https://www.softserveinc.com/en-us" TargetMode="External" Id="R439347fac2c6451f" /><Relationship Type="http://schemas.openxmlformats.org/officeDocument/2006/relationships/hyperlink" Target="https://www.facebook.com/SoftServeInc" TargetMode="External" Id="Rdd8029f24ab94c7b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file:///Users/victorsanchez/Downloads/Nearshoring%20in%20Mexico_May2024.pdf" TargetMode="External" Id="Rf8c209f588f14b09" /><Relationship Type="http://schemas.openxmlformats.org/officeDocument/2006/relationships/fontTable" Target="fontTable.xml" Id="rId4" /><Relationship Type="http://schemas.openxmlformats.org/officeDocument/2006/relationships/hyperlink" Target="https://www.softserveinc.com/" TargetMode="External" Id="R5496d1d38824451e" /><Relationship Type="http://schemas.openxmlformats.org/officeDocument/2006/relationships/numbering" Target="numbering.xml" Id="R99a526792c9b48cd" /><Relationship Type="http://schemas.openxmlformats.org/officeDocument/2006/relationships/hyperlink" Target="file:///Users/victorsanchez/Downloads/Nearshoring%20in%20Mexico_May2024.pdf" TargetMode="External" Id="R3cfc3f69d54b442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4727326abe1444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961F30-FF4B-48CF-9BC0-95FEC8F3CAF0}"/>
</file>

<file path=customXml/itemProps2.xml><?xml version="1.0" encoding="utf-8"?>
<ds:datastoreItem xmlns:ds="http://schemas.openxmlformats.org/officeDocument/2006/customXml" ds:itemID="{32C8F041-CD72-4986-BE66-EDD46BBEA810}"/>
</file>

<file path=customXml/itemProps3.xml><?xml version="1.0" encoding="utf-8"?>
<ds:datastoreItem xmlns:ds="http://schemas.openxmlformats.org/officeDocument/2006/customXml" ds:itemID="{790D76E5-788E-48CF-84E4-2A08A3E325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Rosario Guadalupe Robiou Vivero</lastModifiedBy>
  <dcterms:created xsi:type="dcterms:W3CDTF">2024-10-30T21:14:03.0000000Z</dcterms:created>
  <dcterms:modified xsi:type="dcterms:W3CDTF">2024-11-11T15:52:24.9107631Z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